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0A" w:rsidRDefault="00A74297" w:rsidP="00487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Феофан И</w:t>
      </w:r>
      <w:r w:rsidRPr="00A74297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 xml:space="preserve">споведник </w:t>
      </w:r>
      <w:r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«</w:t>
      </w:r>
      <w:proofErr w:type="spellStart"/>
      <w:r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Х</w:t>
      </w:r>
      <w:r w:rsidRPr="00A74297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ронография</w:t>
      </w:r>
      <w:proofErr w:type="spellEnd"/>
      <w:r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»</w:t>
      </w:r>
    </w:p>
    <w:p w:rsid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  <w:r w:rsidRPr="0048780A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л. м. 6008, р. х. 508.</w:t>
      </w: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сем году</w:t>
      </w:r>
      <w:r w:rsidRPr="0048780A">
        <w:rPr>
          <w:rFonts w:ascii="Times New Roman" w:eastAsiaTheme="minorEastAsia" w:hAnsi="Times New Roman" w:cs="Times New Roman"/>
          <w:position w:val="6"/>
          <w:sz w:val="24"/>
          <w:szCs w:val="24"/>
          <w:lang w:eastAsia="ru-RU"/>
        </w:rPr>
        <w:footnoteReference w:id="1"/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гунны, называемые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савирами</w:t>
      </w:r>
      <w:proofErr w:type="spellEnd"/>
      <w:r w:rsidRPr="0048780A">
        <w:rPr>
          <w:rFonts w:ascii="Times New Roman" w:eastAsiaTheme="minorEastAsia" w:hAnsi="Times New Roman" w:cs="Times New Roman"/>
          <w:position w:val="6"/>
          <w:sz w:val="24"/>
          <w:szCs w:val="24"/>
          <w:lang w:eastAsia="ru-RU"/>
        </w:rPr>
        <w:footnoteReference w:id="2"/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проникли за Каспийские врата</w:t>
      </w:r>
      <w:r w:rsidRPr="0048780A">
        <w:rPr>
          <w:rFonts w:ascii="Times New Roman" w:eastAsiaTheme="minorEastAsia" w:hAnsi="Times New Roman" w:cs="Times New Roman"/>
          <w:position w:val="6"/>
          <w:sz w:val="24"/>
          <w:szCs w:val="24"/>
          <w:lang w:eastAsia="ru-RU"/>
        </w:rPr>
        <w:footnoteReference w:id="3"/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вторглись в Армению, опустошили Каппадокию,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Галатию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Понт и остановились почти у самой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Евхаиты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Святой Македоний, с большой опасностью спасаясь от них, прибыл в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Гангру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Узнав о том, Анастасий строго приказал содержать его под стражею и, как говорят, подсылал было к нему убийцу. Но он умер в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Гангре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положен во храме святого мученика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Каллиника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мощи коего подавали многие целения. Уверяют, что Македоний, уже умерший, осенил сам себя крестным знамением. Феодор, один из находившихся при нем, видел его во сне так говорящего к нему: «Слушай, поди </w:t>
      </w:r>
      <w:proofErr w:type="gram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Анастасию</w:t>
      </w:r>
      <w:proofErr w:type="gram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скажи ему, что я отхожу к отцам моим, коих соблюл веру, но не перестану молить дотоле Господа, пока ты не придешь, и тогда мы предстанем пред суд Божий».</w:t>
      </w:r>
    </w:p>
    <w:p w:rsid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 xml:space="preserve">                                               </w:t>
      </w:r>
      <w:r w:rsidRPr="0048780A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л. м. 6020, р. х. 520.</w:t>
      </w: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Первый год правления императора Римского Юстиниана, Иоанна, епископа Иерусалимского, и </w:t>
      </w:r>
      <w:proofErr w:type="spellStart"/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Евфраимия</w:t>
      </w:r>
      <w:proofErr w:type="spellEnd"/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Антиохийского.</w:t>
      </w: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сем году Юстиниан Великий, будучи самодержцем, поставил в графы Востока патриция Армения, которому дал большое количество денег и приказал отправиться и возобновить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Пальми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noBreakHyphen/>
      </w:r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{135}</w:t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город, лежащий в Финикии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Ливанийской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внутреннем рубеже, назначивши ее местопребыванием для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дука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которому поручил охранять святые места. 1</w:t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noBreakHyphen/>
        <w:t xml:space="preserve">го же января, того же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индиктиона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сделал консульские игры, на кои употребил такие огромные деньги, каких ни один перед тем царь не употреблял.</w:t>
      </w: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же году персидский царь пошел войной против царя лазов, как перешедшего на сторону римлян, но император Юстиниан послал ему вспомогательное войско с тремя полководцами,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Велизарием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Кириком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Петром, которых, однако, тот победил. Царь, негодуя на полководцев своих, что они, завидуя один другому, доставили неприятелю победу, отозвал их, а на их место отправил военачальником писца своего, Петра. Сразившись с персами, последний, при содействии лазов, одержал победу и множество их погубил.</w:t>
      </w: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том же году присоединился к римлянам царь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елуров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имени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Гретис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и, пришедши в Константинополь с народом своим, просил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Юсииниана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сделать его христианином. Император крестил его в храме в день Богоявления,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восприявши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 от купели; с ним вместе крестились сенаторы его и двенадцать родственников. С радостью отправился он в свою землю, обещавши царю дружбу и помощь, чем только пожелает он. Царь назначил военачальником Армении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Цитта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мужа воинственного и весьма способного. Прежде Армения не имела полководца (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στρ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ατηλάτην), но только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дуков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комитов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δοΰκ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ας καὶ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κόμητ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ας). В войске его служило множество армян, знакомых со всеми частями Армении. Юстиниан сверх того дал ему четыре восточных полка, и это войско было для римлян большою защитою и пособием; наконец царь выдал за него сестру царицы Феодоры, по имени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Комито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41073" w:rsidRDefault="00A41073"/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  <w:r w:rsidRPr="0048780A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lastRenderedPageBreak/>
        <w:t>л. м. 6081, р. х. 581.</w:t>
      </w: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Первый год персидского царя </w:t>
      </w:r>
      <w:proofErr w:type="spellStart"/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Хозроя</w:t>
      </w:r>
      <w:proofErr w:type="spellEnd"/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80A" w:rsidRPr="0048780A" w:rsidRDefault="0048780A" w:rsidP="0048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году царь Маврикий усыновил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Хозроя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царя персов, и послал к нему своего родственника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Дометиана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епископа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Мелитинского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вместе с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Нарсесом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поручив сему последнему предводительство на войне.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Дометиан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Нарсес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взяв с собою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Хозроя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все римские войска, вторгаются в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Персиду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Узнав об этом, Барам собрал бывшие при нем войска и поставил лагерь на месте, называемом Александрина, имея в виду не допустить идущие из Армении войска соединиться с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Нарсесом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Ибо Маврикий приказал армянскому военачальнику Иоанну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Мустакону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собрав войско, соединиться с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Нарсесом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чтобы общими силами воздвигнуть войну против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Барама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Ночью соединились все римские силы и в боевом порядке двинулись на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Барама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Барам, испугавшись, стал лагерем около горы. Началась страшная битва, 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Нарсес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несмотря на индийских зверей, прорвал среднюю фалангу варваров. После этого и прочие фаланги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Барама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ослабели и последовало великое бегство этого тирана.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Нарсес</w:t>
      </w:r>
      <w:proofErr w:type="spellEnd"/>
      <w:r w:rsidRPr="0048780A">
        <w:rPr>
          <w:rFonts w:ascii="Times New Roman" w:eastAsiaTheme="minorEastAsia" w:hAnsi="Times New Roman" w:cs="Times New Roman"/>
          <w:position w:val="6"/>
          <w:sz w:val="24"/>
          <w:szCs w:val="24"/>
          <w:lang w:eastAsia="ru-RU"/>
        </w:rPr>
        <w:footnoteReference w:id="4"/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неудержимо преследуя, истребил персов. А 6000 взял живыми и связанных привел к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Хозрою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Хозрой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их умертвил копьем за исключением случившихся </w:t>
      </w:r>
      <w:r w:rsidRPr="00487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{202}</w:t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тут </w:t>
      </w:r>
      <w:proofErr w:type="spellStart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турков</w:t>
      </w:r>
      <w:proofErr w:type="spellEnd"/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которых послал в Византию. У турок на лбах было наколото черными точками изображение креста, и спросил их самодержец, по какому случаю они носят это знамение. Турки отвечали, что когда</w:t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noBreakHyphen/>
        <w:t>то давно была в Турции зараза</w:t>
      </w:r>
      <w:r w:rsidRPr="0048780A">
        <w:rPr>
          <w:rFonts w:ascii="Times New Roman" w:eastAsiaTheme="minorEastAsia" w:hAnsi="Times New Roman" w:cs="Times New Roman"/>
          <w:position w:val="6"/>
          <w:sz w:val="24"/>
          <w:szCs w:val="24"/>
          <w:lang w:eastAsia="ru-RU"/>
        </w:rPr>
        <w:footnoteReference w:id="5"/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живущие там христиане посоветовали сделать это, и с того времени страна получила освобождение от заразы</w:t>
      </w:r>
      <w:r w:rsidRPr="0048780A">
        <w:rPr>
          <w:rFonts w:ascii="Times New Roman" w:eastAsiaTheme="minorEastAsia" w:hAnsi="Times New Roman" w:cs="Times New Roman"/>
          <w:position w:val="6"/>
          <w:sz w:val="24"/>
          <w:szCs w:val="24"/>
          <w:lang w:eastAsia="ru-RU"/>
        </w:rPr>
        <w:footnoteReference w:id="6"/>
      </w:r>
      <w:r w:rsidRPr="00487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4297" w:rsidRDefault="0048780A" w:rsidP="00A74297">
      <w:pPr>
        <w:spacing w:before="4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>
        <w:br/>
      </w:r>
      <w:r>
        <w:br/>
      </w:r>
    </w:p>
    <w:p w:rsidR="00A74297" w:rsidRDefault="00A74297" w:rsidP="00A74297">
      <w:pPr>
        <w:spacing w:before="4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97" w:rsidRDefault="00A74297" w:rsidP="00A74297">
      <w:pPr>
        <w:spacing w:before="4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97" w:rsidRDefault="00A74297" w:rsidP="00A74297">
      <w:pPr>
        <w:spacing w:before="4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97" w:rsidRDefault="00A74297" w:rsidP="00A74297">
      <w:pPr>
        <w:spacing w:before="4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97" w:rsidRDefault="00A74297" w:rsidP="00A74297">
      <w:pPr>
        <w:spacing w:before="4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97" w:rsidRPr="00A74297" w:rsidRDefault="00A74297" w:rsidP="00A74297">
      <w:pPr>
        <w:spacing w:before="4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ЛЕТОПИСЬ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ВИЗАНТИЙЦА ФЕОФАНА</w:t>
      </w:r>
    </w:p>
    <w:p w:rsidR="00A74297" w:rsidRPr="00A74297" w:rsidRDefault="00A74297" w:rsidP="00A7429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ДИОКЛЕТИАНА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ЦАРЕЙ МИХАИЛА И СЫНА ЕГО ФЕОФИЛАКТА</w:t>
      </w:r>
    </w:p>
    <w:p w:rsidR="00A74297" w:rsidRPr="00A74297" w:rsidRDefault="00A74297" w:rsidP="00A7429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t>————</w:t>
      </w:r>
    </w:p>
    <w:p w:rsidR="00A74297" w:rsidRPr="00A74297" w:rsidRDefault="00A74297" w:rsidP="00A74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ПЕРЕВОДЕ С ГРЕЧЕСКОГОВ. И. ОБОЛЕНСКОГО и Ф. А. ТЕРНОВСКОГО.</w:t>
      </w:r>
    </w:p>
    <w:p w:rsidR="00A74297" w:rsidRPr="00A74297" w:rsidRDefault="00A74297" w:rsidP="00A74297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ПРЕДИСЛОВИЕМ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42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О. М. </w:t>
      </w:r>
      <w:proofErr w:type="spellStart"/>
      <w:r w:rsidRPr="00A742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Бодянского</w:t>
      </w:r>
      <w:proofErr w:type="spellEnd"/>
    </w:p>
    <w:p w:rsidR="00A74297" w:rsidRPr="00A74297" w:rsidRDefault="00A74297" w:rsidP="00A74297">
      <w:pPr>
        <w:spacing w:befor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 в МОСКВЕ</w:t>
      </w:r>
      <w:r w:rsidRPr="00A7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4297">
        <w:rPr>
          <w:rFonts w:ascii="Times New Roman" w:eastAsia="Times New Roman" w:hAnsi="Times New Roman" w:cs="Times New Roman"/>
          <w:szCs w:val="20"/>
          <w:lang w:eastAsia="ru-RU"/>
        </w:rPr>
        <w:t>В Университетской типографии (М. Катков),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4297">
        <w:rPr>
          <w:rFonts w:ascii="Times New Roman" w:eastAsia="Times New Roman" w:hAnsi="Times New Roman" w:cs="Times New Roman"/>
          <w:spacing w:val="40"/>
          <w:szCs w:val="20"/>
          <w:lang w:eastAsia="ru-RU"/>
        </w:rPr>
        <w:t>на Страстном бульвар</w:t>
      </w:r>
      <w:r w:rsidRPr="00A74297">
        <w:rPr>
          <w:rFonts w:ascii="Times New Roman" w:eastAsia="Times New Roman" w:hAnsi="Times New Roman" w:cs="Times New Roman"/>
          <w:szCs w:val="20"/>
          <w:lang w:eastAsia="ru-RU"/>
        </w:rPr>
        <w:t>е.</w:t>
      </w:r>
    </w:p>
    <w:p w:rsidR="00A74297" w:rsidRPr="00A74297" w:rsidRDefault="00A74297" w:rsidP="00A7429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74297">
        <w:rPr>
          <w:rFonts w:ascii="Times New Roman" w:eastAsia="Times New Roman" w:hAnsi="Times New Roman" w:cs="Times New Roman"/>
          <w:szCs w:val="20"/>
          <w:lang w:eastAsia="ru-RU"/>
        </w:rPr>
        <w:t>1884 г.</w:t>
      </w:r>
    </w:p>
    <w:p w:rsidR="0048780A" w:rsidRDefault="00A74297" w:rsidP="00A74297">
      <w:pPr>
        <w:spacing w:line="240" w:lineRule="auto"/>
      </w:pPr>
      <w:r>
        <w:t>Сетевая версия текста: 2003 г.</w:t>
      </w:r>
      <w:r w:rsidR="0048780A">
        <w:br/>
        <w:t xml:space="preserve">                                                         </w:t>
      </w:r>
    </w:p>
    <w:p w:rsidR="0048780A" w:rsidRDefault="0048780A" w:rsidP="0048780A">
      <w:pPr>
        <w:spacing w:line="240" w:lineRule="auto"/>
        <w:jc w:val="right"/>
      </w:pPr>
    </w:p>
    <w:p w:rsidR="0048780A" w:rsidRDefault="0048780A" w:rsidP="0048780A">
      <w:pPr>
        <w:spacing w:line="240" w:lineRule="auto"/>
        <w:jc w:val="right"/>
      </w:pPr>
    </w:p>
    <w:p w:rsidR="0048780A" w:rsidRDefault="0048780A" w:rsidP="0048780A">
      <w:pPr>
        <w:spacing w:line="240" w:lineRule="auto"/>
        <w:jc w:val="right"/>
      </w:pPr>
      <w:r>
        <w:t xml:space="preserve"> Текст адаптирован командой «АНТИТОПОР» </w:t>
      </w:r>
    </w:p>
    <w:p w:rsidR="0048780A" w:rsidRPr="00FB6346" w:rsidRDefault="0048780A" w:rsidP="0048780A">
      <w:pPr>
        <w:spacing w:line="240" w:lineRule="auto"/>
        <w:jc w:val="right"/>
      </w:pPr>
      <w:r>
        <w:t>www.antitopor.</w:t>
      </w:r>
      <w:r w:rsidR="00FB6346">
        <w:rPr>
          <w:lang w:val="en-US"/>
        </w:rPr>
        <w:t>com</w:t>
      </w:r>
    </w:p>
    <w:sectPr w:rsidR="0048780A" w:rsidRPr="00F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E2" w:rsidRDefault="00DD7BE2" w:rsidP="0048780A">
      <w:pPr>
        <w:spacing w:after="0" w:line="240" w:lineRule="auto"/>
      </w:pPr>
      <w:r>
        <w:separator/>
      </w:r>
    </w:p>
  </w:endnote>
  <w:endnote w:type="continuationSeparator" w:id="0">
    <w:p w:rsidR="00DD7BE2" w:rsidRDefault="00DD7BE2" w:rsidP="0048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E2" w:rsidRDefault="00DD7BE2" w:rsidP="0048780A">
      <w:pPr>
        <w:spacing w:after="0" w:line="240" w:lineRule="auto"/>
      </w:pPr>
      <w:r>
        <w:separator/>
      </w:r>
    </w:p>
  </w:footnote>
  <w:footnote w:type="continuationSeparator" w:id="0">
    <w:p w:rsidR="00DD7BE2" w:rsidRDefault="00DD7BE2" w:rsidP="0048780A">
      <w:pPr>
        <w:spacing w:after="0" w:line="240" w:lineRule="auto"/>
      </w:pPr>
      <w:r>
        <w:continuationSeparator/>
      </w:r>
    </w:p>
  </w:footnote>
  <w:footnote w:id="1">
    <w:p w:rsidR="0048780A" w:rsidRDefault="0048780A" w:rsidP="0048780A">
      <w:pPr>
        <w:pStyle w:val="FootNote"/>
      </w:pPr>
      <w:r>
        <w:rPr>
          <w:position w:val="6"/>
        </w:rPr>
        <w:footnoteRef/>
      </w:r>
      <w:r>
        <w:t xml:space="preserve"> У Феофана А. М. 6008, т. е. 516/517 г. Источник этого сообщения «</w:t>
      </w:r>
      <w:proofErr w:type="spellStart"/>
      <w:r>
        <w:t>Хронографии</w:t>
      </w:r>
      <w:proofErr w:type="spellEnd"/>
      <w:r>
        <w:t>» не выявлен.</w:t>
      </w:r>
    </w:p>
    <w:p w:rsidR="0048780A" w:rsidRDefault="0048780A" w:rsidP="0048780A">
      <w:pPr>
        <w:pStyle w:val="FootNote"/>
      </w:pPr>
    </w:p>
  </w:footnote>
  <w:footnote w:id="2">
    <w:p w:rsidR="0048780A" w:rsidRDefault="0048780A" w:rsidP="0048780A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Савиры</w:t>
      </w:r>
      <w:proofErr w:type="spellEnd"/>
      <w:r>
        <w:t xml:space="preserve"> (</w:t>
      </w:r>
      <w:proofErr w:type="spellStart"/>
      <w:r>
        <w:t>сабиры</w:t>
      </w:r>
      <w:proofErr w:type="spellEnd"/>
      <w:r>
        <w:t xml:space="preserve">), обитавшие, вероятно, в Западной Сибири, между Алтаем и Уралом, были вытеснены оттуда аварами и переселились к северу от Кавказа; в VI в. </w:t>
      </w:r>
      <w:proofErr w:type="spellStart"/>
      <w:r>
        <w:t>савиры</w:t>
      </w:r>
      <w:proofErr w:type="spellEnd"/>
      <w:r>
        <w:t xml:space="preserve"> нападают на малоазийские провинции Византии и участвуют в </w:t>
      </w:r>
      <w:proofErr w:type="spellStart"/>
      <w:r>
        <w:t>византино</w:t>
      </w:r>
      <w:proofErr w:type="spellEnd"/>
      <w:r>
        <w:noBreakHyphen/>
        <w:t>персидских войнах то на стороне империи, то на стороне</w:t>
      </w:r>
      <w:r>
        <w:noBreakHyphen/>
      </w:r>
      <w:proofErr w:type="spellStart"/>
      <w:r>
        <w:t>сасанидского</w:t>
      </w:r>
      <w:proofErr w:type="spellEnd"/>
      <w:r>
        <w:t xml:space="preserve"> Ирана (</w:t>
      </w:r>
      <w:proofErr w:type="spellStart"/>
      <w:r>
        <w:rPr>
          <w:i/>
          <w:iCs/>
        </w:rPr>
        <w:t>Moravcsik</w:t>
      </w:r>
      <w:proofErr w:type="spellEnd"/>
      <w:r>
        <w:rPr>
          <w:i/>
          <w:iCs/>
        </w:rPr>
        <w:t>.</w:t>
      </w:r>
      <w:r>
        <w:t xml:space="preserve">  </w:t>
      </w:r>
      <w:proofErr w:type="spellStart"/>
      <w:r>
        <w:t>Byzantinoturcica</w:t>
      </w:r>
      <w:proofErr w:type="spellEnd"/>
      <w:r>
        <w:t>, I, S. 68).</w:t>
      </w:r>
    </w:p>
    <w:p w:rsidR="0048780A" w:rsidRDefault="0048780A" w:rsidP="0048780A">
      <w:pPr>
        <w:pStyle w:val="FootNote"/>
      </w:pPr>
    </w:p>
  </w:footnote>
  <w:footnote w:id="3">
    <w:p w:rsidR="0048780A" w:rsidRDefault="0048780A" w:rsidP="0048780A">
      <w:pPr>
        <w:pStyle w:val="FootNote"/>
      </w:pPr>
      <w:r>
        <w:rPr>
          <w:position w:val="6"/>
        </w:rPr>
        <w:footnoteRef/>
      </w:r>
      <w:r>
        <w:t xml:space="preserve"> Как правило, Дербентский проход.</w:t>
      </w:r>
    </w:p>
    <w:p w:rsidR="0048780A" w:rsidRDefault="0048780A" w:rsidP="0048780A">
      <w:pPr>
        <w:pStyle w:val="FootNote"/>
      </w:pPr>
    </w:p>
  </w:footnote>
  <w:footnote w:id="4">
    <w:p w:rsidR="0048780A" w:rsidRDefault="0048780A" w:rsidP="0048780A">
      <w:pPr>
        <w:pStyle w:val="FootNote"/>
      </w:pPr>
      <w:bookmarkStart w:id="0" w:name="_GoBack"/>
      <w:r>
        <w:rPr>
          <w:position w:val="6"/>
        </w:rPr>
        <w:footnoteRef/>
      </w:r>
      <w:r>
        <w:t xml:space="preserve"> У Феофана А. М. 6081, т. е. 588/589 г. Рассказ о турках заимствован у </w:t>
      </w:r>
      <w:proofErr w:type="spellStart"/>
      <w:r>
        <w:t>Феофилакта</w:t>
      </w:r>
      <w:proofErr w:type="spellEnd"/>
      <w:r>
        <w:t xml:space="preserve"> </w:t>
      </w:r>
      <w:proofErr w:type="spellStart"/>
      <w:r>
        <w:t>Симокатты</w:t>
      </w:r>
      <w:proofErr w:type="spellEnd"/>
      <w:r>
        <w:t xml:space="preserve"> (</w:t>
      </w:r>
      <w:proofErr w:type="spellStart"/>
      <w:r>
        <w:t>Th</w:t>
      </w:r>
      <w:proofErr w:type="spellEnd"/>
      <w:r>
        <w:t xml:space="preserve">. </w:t>
      </w:r>
      <w:proofErr w:type="spellStart"/>
      <w:r>
        <w:t>Sim</w:t>
      </w:r>
      <w:proofErr w:type="spellEnd"/>
      <w:r>
        <w:t xml:space="preserve">. </w:t>
      </w:r>
      <w:proofErr w:type="spellStart"/>
      <w:r>
        <w:t>Hist</w:t>
      </w:r>
      <w:proofErr w:type="spellEnd"/>
      <w:r>
        <w:t xml:space="preserve">., V, 10, 10–15), причем без </w:t>
      </w:r>
      <w:proofErr w:type="spellStart"/>
      <w:r>
        <w:t>существеных</w:t>
      </w:r>
      <w:proofErr w:type="spellEnd"/>
      <w:r>
        <w:t xml:space="preserve"> изменений. </w:t>
      </w:r>
      <w:proofErr w:type="spellStart"/>
      <w:r>
        <w:t>Симокатта</w:t>
      </w:r>
      <w:proofErr w:type="spellEnd"/>
      <w:r>
        <w:t xml:space="preserve"> использует архаизирующую этнонимику: турки у него названы «восточными скифами».</w:t>
      </w:r>
    </w:p>
    <w:p w:rsidR="0048780A" w:rsidRDefault="0048780A" w:rsidP="0048780A">
      <w:pPr>
        <w:pStyle w:val="FootNote"/>
      </w:pPr>
    </w:p>
  </w:footnote>
  <w:footnote w:id="5">
    <w:p w:rsidR="0048780A" w:rsidRDefault="0048780A" w:rsidP="0048780A">
      <w:pPr>
        <w:pStyle w:val="FootNote"/>
      </w:pPr>
      <w:r>
        <w:rPr>
          <w:position w:val="6"/>
        </w:rPr>
        <w:footnoteRef/>
      </w:r>
      <w:r>
        <w:t xml:space="preserve"> Список d дает вариант </w:t>
      </w:r>
      <w:proofErr w:type="spellStart"/>
      <w:r>
        <w:t>λιμοΰ</w:t>
      </w:r>
      <w:proofErr w:type="spellEnd"/>
      <w:r>
        <w:t xml:space="preserve">... </w:t>
      </w:r>
      <w:proofErr w:type="spellStart"/>
      <w:r>
        <w:t>γενομένου</w:t>
      </w:r>
      <w:proofErr w:type="spellEnd"/>
      <w:r>
        <w:t xml:space="preserve">, т. е. «был голод»; в латинском переводе – </w:t>
      </w:r>
      <w:proofErr w:type="spellStart"/>
      <w:r>
        <w:t>pestilentiam</w:t>
      </w:r>
      <w:proofErr w:type="spellEnd"/>
      <w:r>
        <w:t>.</w:t>
      </w:r>
    </w:p>
    <w:p w:rsidR="0048780A" w:rsidRDefault="0048780A" w:rsidP="0048780A">
      <w:pPr>
        <w:pStyle w:val="FootNote"/>
      </w:pPr>
    </w:p>
  </w:footnote>
  <w:footnote w:id="6">
    <w:p w:rsidR="0048780A" w:rsidRPr="0048780A" w:rsidRDefault="0048780A" w:rsidP="0048780A">
      <w:pPr>
        <w:pStyle w:val="FootNote"/>
        <w:rPr>
          <w:lang w:val="en-US"/>
        </w:rPr>
      </w:pPr>
      <w:r>
        <w:rPr>
          <w:position w:val="6"/>
        </w:rPr>
        <w:footnoteRef/>
      </w:r>
      <w:r>
        <w:t xml:space="preserve"> Регулярное употребление союза </w:t>
      </w:r>
      <w:proofErr w:type="spellStart"/>
      <w:r>
        <w:t>ὡς</w:t>
      </w:r>
      <w:proofErr w:type="spellEnd"/>
      <w:r>
        <w:t xml:space="preserve"> с изъявительным наклонением выражает предложение цели («чтобы страна была спасена»); </w:t>
      </w:r>
      <w:proofErr w:type="spellStart"/>
      <w:r>
        <w:t>ὡς</w:t>
      </w:r>
      <w:proofErr w:type="spellEnd"/>
      <w:r>
        <w:t xml:space="preserve"> (=</w:t>
      </w:r>
      <w:proofErr w:type="spellStart"/>
      <w:r>
        <w:t>ὥστε</w:t>
      </w:r>
      <w:proofErr w:type="spellEnd"/>
      <w:r>
        <w:t>) с инфинитивом обозначает следствие («так что страна была спасена»); наш перевод отступает от нормативной грамматики, приближаясь к пониманию Анастасия</w:t>
      </w:r>
      <w:r w:rsidRPr="0048780A">
        <w:rPr>
          <w:lang w:val="en-US"/>
        </w:rPr>
        <w:t xml:space="preserve">: et </w:t>
      </w:r>
      <w:proofErr w:type="spellStart"/>
      <w:r w:rsidRPr="0048780A">
        <w:rPr>
          <w:lang w:val="en-US"/>
        </w:rPr>
        <w:t>hinc</w:t>
      </w:r>
      <w:proofErr w:type="spellEnd"/>
      <w:r w:rsidRPr="0048780A">
        <w:rPr>
          <w:lang w:val="en-US"/>
        </w:rPr>
        <w:t xml:space="preserve"> </w:t>
      </w:r>
      <w:proofErr w:type="spellStart"/>
      <w:r w:rsidRPr="0048780A">
        <w:rPr>
          <w:lang w:val="en-US"/>
        </w:rPr>
        <w:t>salus</w:t>
      </w:r>
      <w:proofErr w:type="spellEnd"/>
      <w:r w:rsidRPr="0048780A">
        <w:rPr>
          <w:lang w:val="en-US"/>
        </w:rPr>
        <w:t xml:space="preserve"> in patria </w:t>
      </w:r>
      <w:proofErr w:type="spellStart"/>
      <w:r w:rsidRPr="0048780A">
        <w:rPr>
          <w:lang w:val="en-US"/>
        </w:rPr>
        <w:t>facta</w:t>
      </w:r>
      <w:proofErr w:type="spellEnd"/>
      <w:r w:rsidRPr="0048780A">
        <w:rPr>
          <w:lang w:val="en-US"/>
        </w:rPr>
        <w:t xml:space="preserve"> </w:t>
      </w:r>
      <w:proofErr w:type="spellStart"/>
      <w:r w:rsidRPr="0048780A">
        <w:rPr>
          <w:lang w:val="en-US"/>
        </w:rPr>
        <w:t>est</w:t>
      </w:r>
      <w:proofErr w:type="spellEnd"/>
      <w:r w:rsidRPr="0048780A">
        <w:rPr>
          <w:lang w:val="en-US"/>
        </w:rPr>
        <w:t xml:space="preserve"> (</w:t>
      </w:r>
      <w:proofErr w:type="spellStart"/>
      <w:r w:rsidRPr="0048780A">
        <w:rPr>
          <w:lang w:val="en-US"/>
        </w:rPr>
        <w:t>Theoph</w:t>
      </w:r>
      <w:proofErr w:type="spellEnd"/>
      <w:r w:rsidRPr="0048780A">
        <w:rPr>
          <w:lang w:val="en-US"/>
        </w:rPr>
        <w:t>. Chron., II. 164.13).</w:t>
      </w:r>
    </w:p>
    <w:p w:rsidR="0048780A" w:rsidRPr="0048780A" w:rsidRDefault="0048780A" w:rsidP="0048780A">
      <w:pPr>
        <w:pStyle w:val="FootNote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A"/>
    <w:rsid w:val="0048780A"/>
    <w:rsid w:val="00712573"/>
    <w:rsid w:val="00A41073"/>
    <w:rsid w:val="00A74297"/>
    <w:rsid w:val="00DD7BE2"/>
    <w:rsid w:val="00FB6346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5075-D196-456D-9C6A-F0636DE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uiPriority w:val="99"/>
    <w:rsid w:val="0048780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Аратта</cp:lastModifiedBy>
  <cp:revision>2</cp:revision>
  <dcterms:created xsi:type="dcterms:W3CDTF">2014-05-04T09:48:00Z</dcterms:created>
  <dcterms:modified xsi:type="dcterms:W3CDTF">2015-03-20T17:29:00Z</dcterms:modified>
</cp:coreProperties>
</file>